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5" w:rsidRDefault="00414805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4805" w:rsidRDefault="00414805" w:rsidP="00414805">
      <w:pPr>
        <w:widowControl w:val="0"/>
        <w:tabs>
          <w:tab w:val="left" w:pos="0"/>
          <w:tab w:val="left" w:pos="482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РАЗЪЯСНЯЕТ:</w:t>
      </w:r>
    </w:p>
    <w:p w:rsidR="00414805" w:rsidRDefault="00414805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4805" w:rsidRDefault="00414805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756B7" w:rsidRDefault="000337AF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Судебная практика по спорам, связанным с с</w:t>
      </w:r>
      <w:r w:rsidR="007756B7">
        <w:rPr>
          <w:rFonts w:ascii="Times New Roman" w:hAnsi="Times New Roman" w:cs="Times New Roman"/>
          <w:b/>
          <w:bCs/>
          <w:sz w:val="28"/>
          <w:szCs w:val="28"/>
        </w:rPr>
        <w:t>амовольны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7756B7">
        <w:rPr>
          <w:rFonts w:ascii="Times New Roman" w:hAnsi="Times New Roman" w:cs="Times New Roman"/>
          <w:b/>
          <w:bCs/>
          <w:sz w:val="28"/>
          <w:szCs w:val="28"/>
        </w:rPr>
        <w:t xml:space="preserve"> постройк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:rsidR="000337AF" w:rsidRDefault="000337AF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6F00" w:rsidRPr="007756B7" w:rsidRDefault="00676F00" w:rsidP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6B7">
        <w:rPr>
          <w:rFonts w:ascii="Times New Roman" w:hAnsi="Times New Roman" w:cs="Times New Roman"/>
          <w:bCs/>
          <w:sz w:val="28"/>
          <w:szCs w:val="28"/>
        </w:rPr>
        <w:t xml:space="preserve">Верховный Суд РФ </w:t>
      </w:r>
      <w:r w:rsidR="007756B7" w:rsidRPr="007756B7">
        <w:rPr>
          <w:rFonts w:ascii="Times New Roman" w:hAnsi="Times New Roman" w:cs="Times New Roman"/>
          <w:bCs/>
          <w:sz w:val="28"/>
          <w:szCs w:val="28"/>
        </w:rPr>
        <w:t>19.</w:t>
      </w:r>
      <w:r w:rsidR="007756B7">
        <w:rPr>
          <w:rFonts w:ascii="Times New Roman" w:hAnsi="Times New Roman" w:cs="Times New Roman"/>
          <w:bCs/>
          <w:sz w:val="28"/>
          <w:szCs w:val="28"/>
        </w:rPr>
        <w:t>0</w:t>
      </w:r>
      <w:r w:rsidR="007756B7" w:rsidRPr="007756B7">
        <w:rPr>
          <w:rFonts w:ascii="Times New Roman" w:hAnsi="Times New Roman" w:cs="Times New Roman"/>
          <w:bCs/>
          <w:sz w:val="28"/>
          <w:szCs w:val="28"/>
        </w:rPr>
        <w:t>3.2014 утвердил обзор судебной практики по делам</w:t>
      </w:r>
      <w:r w:rsidRPr="007756B7">
        <w:rPr>
          <w:rFonts w:ascii="Times New Roman" w:hAnsi="Times New Roman" w:cs="Times New Roman"/>
          <w:bCs/>
          <w:sz w:val="28"/>
          <w:szCs w:val="28"/>
        </w:rPr>
        <w:t>, связанным с самовольными постройками.</w:t>
      </w:r>
    </w:p>
    <w:p w:rsidR="007756B7" w:rsidRDefault="00775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6B7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строительства регламентируются ст. 222 Гр</w:t>
      </w:r>
      <w:r w:rsidR="00676F00" w:rsidRPr="007756B7">
        <w:rPr>
          <w:rFonts w:ascii="Times New Roman" w:hAnsi="Times New Roman" w:cs="Times New Roman"/>
          <w:sz w:val="28"/>
          <w:szCs w:val="28"/>
        </w:rPr>
        <w:t>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 Данная норма при определенных обстоятельствах позволяет ввести такую постройку </w:t>
      </w:r>
      <w:r w:rsidR="00676F00" w:rsidRPr="00676F00">
        <w:rPr>
          <w:rFonts w:ascii="Times New Roman" w:hAnsi="Times New Roman" w:cs="Times New Roman"/>
          <w:sz w:val="28"/>
          <w:szCs w:val="28"/>
        </w:rPr>
        <w:t>в гражданский оборот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F00" w:rsidRPr="00676F00" w:rsidRDefault="00775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7AF">
        <w:rPr>
          <w:rFonts w:ascii="Times New Roman" w:hAnsi="Times New Roman" w:cs="Times New Roman"/>
          <w:sz w:val="28"/>
          <w:szCs w:val="28"/>
        </w:rPr>
        <w:t xml:space="preserve"> обзоре</w:t>
      </w:r>
      <w:r>
        <w:rPr>
          <w:rFonts w:ascii="Times New Roman" w:hAnsi="Times New Roman" w:cs="Times New Roman"/>
          <w:sz w:val="28"/>
          <w:szCs w:val="28"/>
        </w:rPr>
        <w:t xml:space="preserve"> судом даны разъяснения по вопросам процессуального</w:t>
      </w:r>
      <w:r w:rsidR="00676F00" w:rsidRPr="00676F00">
        <w:rPr>
          <w:rFonts w:ascii="Times New Roman" w:hAnsi="Times New Roman" w:cs="Times New Roman"/>
          <w:sz w:val="28"/>
          <w:szCs w:val="28"/>
        </w:rPr>
        <w:t xml:space="preserve"> и материального права на примерах конкретных дел. В частности, разъяснено</w:t>
      </w:r>
      <w:r>
        <w:rPr>
          <w:rFonts w:ascii="Times New Roman" w:hAnsi="Times New Roman" w:cs="Times New Roman"/>
          <w:sz w:val="28"/>
          <w:szCs w:val="28"/>
        </w:rPr>
        <w:t>, что: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запрет на производство строительных работ в качестве меры по обеспечению иска о сносе самовольной постройки может быть наложен как в отношении ответчика, так и иных лиц, фактически осуществляющих строительные работы на спорном объекте;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приобретательная давность не может распространяться на самовольно возведенное строение, расположенное на неправомерно занимаемом земельном участке;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при рассмотрении дел о самовольных постройках судам следует применять градостроительные и строительные нормы и правила в редакции, действовавшей на время возведения самовольной постройки;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существенные и неустранимые нарушения указанных норм и правил при возведении самовольной постройки являются основанием для ее сноса;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признания права собственности на часть самовольной постройки;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при рассмотрении споров, связанных с признанием права собственности на самовольную постройку, помимо доказательств принадлежности истцу земельного участка, суду также следует проверять соблюдение его целевого назначения;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при самовольной пристройке к первоначальному объекту недвижимости дополнительных помещений право собственника может быть защищено путем признания этого права в целом на объект собственности в реконструируемом виде;</w:t>
      </w:r>
    </w:p>
    <w:p w:rsidR="00676F00" w:rsidRPr="00676F00" w:rsidRDefault="0067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F00">
        <w:rPr>
          <w:rFonts w:ascii="Times New Roman" w:hAnsi="Times New Roman" w:cs="Times New Roman"/>
          <w:sz w:val="28"/>
          <w:szCs w:val="28"/>
        </w:rPr>
        <w:t>возведение новых построек при наличии обременений права собственности в виде запрещения нового строительства является основанием для признания постройки самовольной и ее сноса.</w:t>
      </w:r>
    </w:p>
    <w:sectPr w:rsidR="00676F00" w:rsidRPr="00676F00" w:rsidSect="00676F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0"/>
    <w:rsid w:val="000337AF"/>
    <w:rsid w:val="002A1D9D"/>
    <w:rsid w:val="003E18CA"/>
    <w:rsid w:val="00414805"/>
    <w:rsid w:val="00676F00"/>
    <w:rsid w:val="007756B7"/>
    <w:rsid w:val="00987864"/>
    <w:rsid w:val="00A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5ABA-8BE4-4384-906B-2B3E9414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 В.</dc:creator>
  <cp:lastModifiedBy>pushkareva_o</cp:lastModifiedBy>
  <cp:revision>2</cp:revision>
  <cp:lastPrinted>2014-05-07T10:45:00Z</cp:lastPrinted>
  <dcterms:created xsi:type="dcterms:W3CDTF">2014-06-04T11:54:00Z</dcterms:created>
  <dcterms:modified xsi:type="dcterms:W3CDTF">2014-06-04T11:54:00Z</dcterms:modified>
</cp:coreProperties>
</file>